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6"/>
          <w:szCs w:val="32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700" cy="638175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8229810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694" cy="6381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36"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25 декабря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4 г.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№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684-т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/>
    </w:p>
    <w:p>
      <w:pPr>
        <w:pStyle w:val="834"/>
        <w:ind w:right="228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2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2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Liberation Serif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 в приложения №№ 1, 2 </w:t>
        <w:br/>
        <w:t xml:space="preserve">к приказу департамента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Ямало-Ненецкого автономного округа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от 25 ноября 2022 года № 572-т </w:t>
      </w:r>
      <w:r/>
    </w:p>
    <w:p>
      <w:pPr>
        <w:pStyle w:val="826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color w:val="000000" w:themeColor="text1"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22 октября 2012 года № 1075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«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 ценообразовании </w:t>
        <w:br/>
        <w:t xml:space="preserve">в сфере теплоснабжения»,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</w:t>
        <w:br/>
        <w:t xml:space="preserve">«О департаменте тарифной политики, энергетики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округа»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              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изменение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, которо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вноси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тся </w:t>
        <w:br/>
        <w:t xml:space="preserve">в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приложения №№ 1, 2 к приказу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департамента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от 25 ноября 2022 года № 572-т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Об установлении тарифов на тепловую энергию (мощность), производимую акционерным обществом «Вынгапуровский тепловодоканал» и поставляемую потребителям на 2022 - 2027 годы и долгосрочных параметров регулирования тарифов на 2023 - 2027 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firstLine="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Д.Н. Афанасьев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УТВЕРЖДЕНО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 энергетики и  жилищно-коммунального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25 декабря 2024 года № 684-т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pStyle w:val="831"/>
        <w:ind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ИЗМЕНЕНИЕ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,</w:t>
      </w:r>
      <w:r>
        <w:rPr>
          <w:b w:val="0"/>
          <w:bCs w:val="0"/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 которо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е вноси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тся в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приложения №№ 1, 2 к приказу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приказ депа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ртамента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Ямало-Ненецкого автономного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округа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от 25 ноября 2022 года № 572-т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9204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pStyle w:val="848"/>
        <w:ind w:left="9204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«Приложение № 1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9204"/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/>
    </w:p>
    <w:p>
      <w:pPr>
        <w:pStyle w:val="848"/>
        <w:contextualSpacing/>
        <w:ind w:left="9204"/>
      </w:pP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/>
    </w:p>
    <w:p>
      <w:pPr>
        <w:pStyle w:val="848"/>
        <w:contextualSpacing/>
        <w:ind w:left="9204"/>
      </w:pP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/>
    </w:p>
    <w:p>
      <w:pPr>
        <w:pStyle w:val="848"/>
        <w:contextualSpacing/>
        <w:ind w:left="9204"/>
      </w:pP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от 25 ноября 2022 года № 572-т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/>
    </w:p>
    <w:p>
      <w:pPr>
        <w:pStyle w:val="848"/>
        <w:ind w:left="9204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(в редакции приказа департамента тарифной политики, энергетики и жилищно-коммунального комплекса Ямало-Ненецкого автономного округ</w:t>
      </w:r>
      <w:r/>
    </w:p>
    <w:p>
      <w:pPr>
        <w:ind w:left="9204"/>
      </w:pP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25 декабря 2024 года № 684-т</w:t>
      </w:r>
      <w:r/>
      <w:r/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)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/>
      <w:r/>
    </w:p>
    <w:p>
      <w:pPr>
        <w:pStyle w:val="848"/>
        <w:jc w:val="both"/>
      </w:pP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/>
    </w:p>
    <w:p>
      <w:pPr>
        <w:jc w:val="center"/>
        <w:rPr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ТАРИФЫ НА ТЕПЛОВУЮ ЭНЕРГИЮ (МОЩНОСТЬ), ПРОИЗВОДИМУЮ АКЦИОНЕРНЫМ ОБЩЕСТВОМ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br/>
        <w:t xml:space="preserve">«ВЫНГАПУРОВСКИЙ ТЕПЛОВОДОКАНАЛ» И ПОСТАВЛЯЕМУЮ ПОТРЕБИТЕЛЯМ, НА 2022 - 2027 ГОДЫ</w:t>
      </w:r>
      <w:r>
        <w:rPr>
          <w:color w:val="000000" w:themeColor="text1"/>
          <w:sz w:val="24"/>
          <w:szCs w:val="24"/>
        </w:rPr>
      </w:r>
      <w:r/>
    </w:p>
    <w:p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highlight w:val="none"/>
        </w:rPr>
      </w:r>
      <w:r>
        <w:rPr>
          <w:color w:val="000000" w:themeColor="text1"/>
          <w:sz w:val="24"/>
          <w:szCs w:val="24"/>
          <w:highlight w:val="none"/>
        </w:rPr>
      </w:r>
      <w:r/>
    </w:p>
    <w:p>
      <w:pPr>
        <w:jc w:val="right"/>
        <w:rPr>
          <w:rFonts w:ascii="Liberation Sans" w:hAnsi="Liberation Sans" w:cs="Liberation Sans"/>
          <w:color w:val="000000" w:themeColor="text1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Таблица </w:t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64"/>
        <w:gridCol w:w="2460"/>
        <w:gridCol w:w="2039"/>
        <w:gridCol w:w="1185"/>
        <w:gridCol w:w="2058"/>
        <w:gridCol w:w="1066"/>
        <w:gridCol w:w="878"/>
        <w:gridCol w:w="1167"/>
        <w:gridCol w:w="992"/>
        <w:gridCol w:w="998"/>
        <w:gridCol w:w="1948"/>
      </w:tblGrid>
      <w:tr>
        <w:trPr>
          <w:jc w:val="center"/>
        </w:trPr>
        <w:tc>
          <w:tcPr>
            <w:tcBorders>
              <w:bottom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Liberation Sans" w:hAnsi="Liberation Sans" w:eastAsia="Liberation Serif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№ п/п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highlight w:val="non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4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0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Вид тарифа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0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Вода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gridSpan w:val="4"/>
            <w:tcBorders>
              <w:bottom w:val="single" w:color="000000" w:sz="4" w:space="0"/>
            </w:tcBorders>
            <w:tcW w:w="40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от 2,5 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до 7,0 кг/см2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от 7,0 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до 13,0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кг/см2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bottom w:val="single" w:color="000000" w:sz="4" w:space="0"/>
            </w:tcBorders>
            <w:tcW w:w="1233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  <w:tr>
        <w:trPr>
          <w:cantSplit/>
          <w:jc w:val="center"/>
          <w:trHeight w:val="63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4"/>
              </w:rPr>
              <w:t xml:space="preserve">Акционерное общество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4"/>
              </w:rPr>
              <w:t xml:space="preserve">«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Вынгапуровский тепловодоканал</w:t>
            </w: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одноставочный руб./Гкал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2022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с    01.12.2022 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по  31.12.2022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3149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6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3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2023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с    01.01.2023 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по  31.12.2023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3149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6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3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с    01.01.2024 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3149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6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3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с    01.07.2024 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по  30.09.2024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3278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  <w:tr>
        <w:trPr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6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3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4" w:space="0"/>
            </w:tcBorders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с    01.10.2024 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3349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9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  <w:tr>
        <w:trPr>
          <w:cantSplit/>
          <w:jc w:val="center"/>
          <w:trHeight w:val="42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6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3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с    01.01.2025 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3349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  <w:tr>
        <w:trPr>
          <w:cantSplit/>
          <w:jc w:val="center"/>
          <w:trHeight w:val="45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6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3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с    01.07.2025 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3550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6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3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с    01.01.2026 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3157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6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3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с    01.07.2026 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3157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  <w:tr>
        <w:trPr>
          <w:jc w:val="center"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6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3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с    01.01.2027 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по  30.06.2027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3157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  <w:tr>
        <w:trPr>
          <w:jc w:val="center"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6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3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с    01.07.2027 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по  31.12.2027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3157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</w:tbl>
    <w:p>
      <w:pPr>
        <w:pStyle w:val="826"/>
        <w:ind w:left="0" w:firstLine="708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848"/>
        <w:ind w:left="9204"/>
      </w:pP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Приложение № 2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9204"/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/>
    </w:p>
    <w:p>
      <w:pPr>
        <w:pStyle w:val="848"/>
        <w:contextualSpacing/>
        <w:ind w:left="9204"/>
      </w:pP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/>
    </w:p>
    <w:p>
      <w:pPr>
        <w:pStyle w:val="848"/>
        <w:contextualSpacing/>
        <w:ind w:left="9204"/>
      </w:pP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/>
    </w:p>
    <w:p>
      <w:pPr>
        <w:pStyle w:val="848"/>
        <w:contextualSpacing/>
        <w:ind w:left="9204"/>
      </w:pP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от 25 ноября 2022 года № 572-т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/>
    </w:p>
    <w:p>
      <w:pPr>
        <w:pStyle w:val="848"/>
        <w:ind w:left="9204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(в редакции приказа департамента тарифной политики, энергетики и жилищно-коммунального комплекса Ямало-Ненецкого автономного округа</w:t>
      </w:r>
      <w:r/>
    </w:p>
    <w:p>
      <w:pPr>
        <w:ind w:left="9204"/>
      </w:pP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25 декабря 2024 года № 684-т</w:t>
      </w:r>
      <w:r/>
      <w:r/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)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/>
      <w:r/>
    </w:p>
    <w:p>
      <w:pPr>
        <w:pStyle w:val="826"/>
        <w:ind w:left="0" w:firstLine="708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0" w:right="0" w:firstLine="0"/>
        <w:jc w:val="center"/>
        <w:spacing w:before="0" w:after="0" w:line="74" w:lineRule="atLeast"/>
        <w:rPr>
          <w:rFonts w:ascii="Liberation Sans" w:hAnsi="Liberation Sans" w:cs="Liberation Sans"/>
          <w:b w:val="0"/>
          <w:bCs w:val="0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b w:val="0"/>
          <w:bCs w:val="0"/>
          <w:color w:val="000000"/>
          <w:sz w:val="24"/>
          <w:szCs w:val="24"/>
        </w:rPr>
        <w:t xml:space="preserve">ЛЬГОТНЫЕ ТАРИФЫ </w:t>
      </w:r>
      <w:r>
        <w:rPr>
          <w:rFonts w:ascii="Liberation Sans" w:hAnsi="Liberation Sans" w:eastAsia="Arial" w:cs="Liberation Sans"/>
          <w:b w:val="0"/>
          <w:bCs w:val="0"/>
          <w:color w:val="000000"/>
          <w:sz w:val="24"/>
          <w:szCs w:val="24"/>
        </w:rPr>
        <w:t xml:space="preserve">НА ТЕПЛОВУЮ ЭНЕРГИЮ (МОЩНОСТЬ), ПРОИЗВОДИМУЮ АКЦИОНЕРНЫМ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/>
    </w:p>
    <w:p>
      <w:pPr>
        <w:ind w:left="0" w:right="0" w:firstLine="0"/>
        <w:jc w:val="center"/>
        <w:spacing w:before="0" w:after="0" w:line="74" w:lineRule="atLeast"/>
        <w:rPr>
          <w:rFonts w:ascii="Liberation Sans" w:hAnsi="Liberation Sans" w:cs="Liberation Sans"/>
          <w:b w:val="0"/>
          <w:bCs w:val="0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b w:val="0"/>
          <w:bCs w:val="0"/>
          <w:color w:val="000000"/>
          <w:sz w:val="24"/>
          <w:szCs w:val="24"/>
        </w:rPr>
        <w:t xml:space="preserve">ОБЩЕСТВОМ «ВЫНГАПУРОВСКИЙ ТЕПЛОВОДОКАНАЛ» И ПОСТАВЛЯЕМУЮ </w:t>
      </w:r>
      <w:r>
        <w:rPr>
          <w:rFonts w:ascii="Liberation Sans" w:hAnsi="Liberation Sans" w:eastAsia="Arial" w:cs="Liberation Sans"/>
          <w:b w:val="0"/>
          <w:bCs w:val="0"/>
          <w:color w:val="000000"/>
          <w:sz w:val="24"/>
          <w:szCs w:val="24"/>
        </w:rPr>
        <w:t xml:space="preserve">ПОТРЕБИТЕЛЯМ, НА 2022 - 2027 ГОДЫ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/>
    </w:p>
    <w:p>
      <w:pPr>
        <w:pStyle w:val="826"/>
        <w:ind w:left="-283" w:right="0" w:firstLine="0"/>
        <w:jc w:val="right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826"/>
        <w:ind w:left="-283" w:right="0" w:firstLine="0"/>
        <w:jc w:val="right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Таблица</w:t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10"/>
        <w:gridCol w:w="2425"/>
        <w:gridCol w:w="2051"/>
        <w:gridCol w:w="1215"/>
        <w:gridCol w:w="2069"/>
        <w:gridCol w:w="1097"/>
        <w:gridCol w:w="849"/>
        <w:gridCol w:w="1200"/>
        <w:gridCol w:w="1029"/>
        <w:gridCol w:w="934"/>
        <w:gridCol w:w="1876"/>
      </w:tblGrid>
      <w:tr>
        <w:trPr>
          <w:jc w:val="center"/>
        </w:trPr>
        <w:tc>
          <w:tcPr>
            <w:tcBorders>
              <w:bottom w:val="single" w:color="000000" w:sz="4" w:space="0"/>
            </w:tcBorders>
            <w:tcW w:w="6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№ п/п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0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Вид тарифа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Год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0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Вода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gridSpan w:val="4"/>
            <w:tcBorders>
              <w:bottom w:val="single" w:color="000000" w:sz="4" w:space="0"/>
            </w:tcBorders>
            <w:tcW w:w="40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от 2,5 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до 7,0 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от 7,0 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до 13,0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bottom w:val="single" w:color="000000" w:sz="4" w:space="0"/>
            </w:tcBorders>
            <w:tcW w:w="12320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Для потребителей, в случае отсутствия дифференциации тарифов по схеме подключения&lt;*&gt;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>
          <w:cantSplit/>
          <w:jc w:val="center"/>
          <w:trHeight w:val="58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bCs/>
                <w:sz w:val="24"/>
              </w:rPr>
              <w:t xml:space="preserve">Акционерное общество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bCs/>
                <w:sz w:val="24"/>
              </w:rPr>
              <w:t xml:space="preserve">«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Вынгапуровский тепловодоканал</w:t>
            </w:r>
            <w:r>
              <w:rPr>
                <w:rFonts w:ascii="Liberation Sans" w:hAnsi="Liberation Sans" w:eastAsia="Liberation Serif" w:cs="Liberation Sans"/>
                <w:bCs/>
                <w:sz w:val="24"/>
              </w:rPr>
              <w:t xml:space="preserve">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6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01.12.2022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31.12.2022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1379,19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>
          <w:cantSplit/>
          <w:jc w:val="center"/>
          <w:trHeight w:val="38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6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01.01.2023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31.12.2023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1379,19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6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1379,19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6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1489,53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6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1489,53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6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1623,59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>
          <w:cantSplit/>
          <w:jc w:val="center"/>
          <w:trHeight w:val="635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6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6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30.06.2027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9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31.12.2027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9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bottom w:val="single" w:color="000000" w:sz="4" w:space="0"/>
            </w:tcBorders>
            <w:tcW w:w="1232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Население &lt;**&gt;(тарифы указываются с учетом НДС)&lt;***&gt;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>
          <w:cantSplit/>
          <w:jc w:val="center"/>
          <w:trHeight w:val="575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6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01.12.2022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31.12.2022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1655,03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6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01.01.2023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31.12.2023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1655,03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6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1655,03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6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1787,43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6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1787,43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6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1948,30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6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6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30.06.2027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9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31.12.2027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9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</w:tbl>
    <w:p>
      <w:pPr>
        <w:ind w:left="0" w:right="-28" w:firstLine="70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&gt;</w:t>
      </w:r>
      <w:r>
        <w:rPr>
          <w:rFonts w:ascii="Liberation Sans" w:hAnsi="Liberation Sans" w:eastAsia="Liberation Serif" w:cs="Liberation Sans"/>
          <w:color w:val="ff0000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Потребители тепловой энергии (мощности), имеющие право на льготы, 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0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.</w:t>
      </w:r>
      <w:r>
        <w:rPr>
          <w:sz w:val="20"/>
          <w:szCs w:val="20"/>
        </w:rPr>
      </w:r>
      <w:r/>
    </w:p>
    <w:p>
      <w:pPr>
        <w:ind w:left="0" w:right="-28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&lt;**&gt; Потребители тепловой энергии (мощности), имеющие право на льготы,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1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комплекса».</w:t>
      </w:r>
      <w:r>
        <w:rPr>
          <w:sz w:val="20"/>
          <w:szCs w:val="20"/>
        </w:rPr>
      </w:r>
      <w:r/>
    </w:p>
    <w:p>
      <w:pPr>
        <w:pStyle w:val="831"/>
        <w:ind w:left="0" w:right="-172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&lt;***&gt; Выделяется в целях реализации </w:t>
      </w:r>
      <w:hyperlink r:id="rId12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sz w:val="20"/>
            <w:szCs w:val="20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sz w:val="20"/>
          <w:szCs w:val="20"/>
        </w:rPr>
        <w:t xml:space="preserve"> Налогового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кодекса Российской Федерации (часть вторая). </w:t>
      </w:r>
      <w:r>
        <w:rPr>
          <w:sz w:val="20"/>
          <w:szCs w:val="20"/>
        </w:rPr>
      </w:r>
      <w:r/>
    </w:p>
    <w:p>
      <w:pPr>
        <w:pStyle w:val="831"/>
        <w:ind w:left="0" w:right="-28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ния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(теплоснабжения).</w:t>
      </w:r>
      <w:r>
        <w:rPr>
          <w:rFonts w:ascii="Liberation Sans" w:hAnsi="Liberation Sans" w:eastAsia="Liberation Serif" w:cs="Liberation Sans"/>
          <w:sz w:val="20"/>
          <w:szCs w:val="20"/>
        </w:rPr>
        <w:tab/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                                                                                    </w:t>
        <w:tab/>
        <w:tab/>
        <w:tab/>
        <w:tab/>
        <w:tab/>
        <w:tab/>
        <w:tab/>
        <w:tab/>
        <w:tab/>
        <w:t xml:space="preserve">        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».</w:t>
      </w:r>
      <w:r>
        <w:rPr>
          <w:sz w:val="20"/>
          <w:szCs w:val="20"/>
        </w:rPr>
      </w:r>
      <w:r/>
    </w:p>
    <w:sectPr>
      <w:footnotePr/>
      <w:endnotePr/>
      <w:type w:val="nextPage"/>
      <w:pgSz w:w="16838" w:h="11906" w:orient="landscape"/>
      <w:pgMar w:top="567" w:right="850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720" w:hanging="360"/>
      </w:pPr>
      <w:rPr>
        <w:rFonts w:ascii="PT Astra Serif" w:hAnsi="PT Astra Serif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7200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link w:val="648"/>
    <w:uiPriority w:val="9"/>
    <w:rPr>
      <w:rFonts w:ascii="Arial" w:hAnsi="Arial" w:eastAsia="Arial" w:cs="Arial"/>
      <w:sz w:val="40"/>
      <w:szCs w:val="40"/>
    </w:rPr>
  </w:style>
  <w:style w:type="paragraph" w:styleId="650">
    <w:name w:val="Heading 2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1">
    <w:name w:val="Heading 2 Char"/>
    <w:link w:val="650"/>
    <w:uiPriority w:val="9"/>
    <w:rPr>
      <w:rFonts w:ascii="Arial" w:hAnsi="Arial" w:eastAsia="Arial" w:cs="Arial"/>
      <w:sz w:val="34"/>
    </w:rPr>
  </w:style>
  <w:style w:type="paragraph" w:styleId="652">
    <w:name w:val="Heading 3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3">
    <w:name w:val="Heading 3 Char"/>
    <w:link w:val="652"/>
    <w:uiPriority w:val="9"/>
    <w:rPr>
      <w:rFonts w:ascii="Arial" w:hAnsi="Arial" w:eastAsia="Arial" w:cs="Arial"/>
      <w:sz w:val="30"/>
      <w:szCs w:val="30"/>
    </w:rPr>
  </w:style>
  <w:style w:type="paragraph" w:styleId="654">
    <w:name w:val="Heading 4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5">
    <w:name w:val="Heading 4 Char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7">
    <w:name w:val="Heading 5 Char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9">
    <w:name w:val="Heading 6 Char"/>
    <w:link w:val="65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List Paragraph"/>
    <w:uiPriority w:val="34"/>
    <w:qFormat/>
    <w:pPr>
      <w:contextualSpacing/>
      <w:ind w:left="720"/>
    </w:pPr>
  </w:style>
  <w:style w:type="paragraph" w:styleId="667">
    <w:name w:val="No Spacing"/>
    <w:uiPriority w:val="1"/>
    <w:qFormat/>
    <w:pPr>
      <w:spacing w:before="0" w:after="0" w:line="240" w:lineRule="auto"/>
    </w:pPr>
  </w:style>
  <w:style w:type="paragraph" w:styleId="668">
    <w:name w:val="Title"/>
    <w:link w:val="6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9">
    <w:name w:val="Title Char"/>
    <w:link w:val="668"/>
    <w:uiPriority w:val="10"/>
    <w:rPr>
      <w:sz w:val="48"/>
      <w:szCs w:val="48"/>
    </w:rPr>
  </w:style>
  <w:style w:type="paragraph" w:styleId="670">
    <w:name w:val="Subtitle"/>
    <w:link w:val="671"/>
    <w:uiPriority w:val="11"/>
    <w:qFormat/>
    <w:pPr>
      <w:spacing w:before="200" w:after="200"/>
    </w:pPr>
    <w:rPr>
      <w:sz w:val="24"/>
      <w:szCs w:val="24"/>
    </w:rPr>
  </w:style>
  <w:style w:type="character" w:styleId="671">
    <w:name w:val="Subtitle Char"/>
    <w:link w:val="670"/>
    <w:uiPriority w:val="11"/>
    <w:rPr>
      <w:sz w:val="24"/>
      <w:szCs w:val="24"/>
    </w:rPr>
  </w:style>
  <w:style w:type="paragraph" w:styleId="672">
    <w:name w:val="Quote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paragraph" w:styleId="676">
    <w:name w:val="Header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Header Char"/>
    <w:link w:val="676"/>
    <w:uiPriority w:val="99"/>
  </w:style>
  <w:style w:type="paragraph" w:styleId="678">
    <w:name w:val="Footer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Footer Char"/>
    <w:link w:val="678"/>
    <w:uiPriority w:val="99"/>
  </w:style>
  <w:style w:type="paragraph" w:styleId="68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1">
    <w:name w:val="Caption Char"/>
    <w:basedOn w:val="680"/>
    <w:link w:val="678"/>
    <w:uiPriority w:val="99"/>
  </w:style>
  <w:style w:type="table" w:styleId="6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8">
    <w:name w:val="Hyperlink"/>
    <w:uiPriority w:val="99"/>
    <w:unhideWhenUsed/>
    <w:rPr>
      <w:color w:val="0000ff" w:themeColor="hyperlink"/>
      <w:u w:val="single"/>
    </w:rPr>
  </w:style>
  <w:style w:type="paragraph" w:styleId="809">
    <w:name w:val="footnote text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uiPriority w:val="99"/>
    <w:unhideWhenUsed/>
    <w:rPr>
      <w:vertAlign w:val="superscript"/>
    </w:rPr>
  </w:style>
  <w:style w:type="paragraph" w:styleId="812">
    <w:name w:val="endnote text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uiPriority w:val="99"/>
    <w:semiHidden/>
    <w:unhideWhenUsed/>
    <w:rPr>
      <w:vertAlign w:val="superscript"/>
    </w:rPr>
  </w:style>
  <w:style w:type="paragraph" w:styleId="815">
    <w:name w:val="toc 1"/>
    <w:uiPriority w:val="39"/>
    <w:unhideWhenUsed/>
    <w:pPr>
      <w:ind w:left="0" w:right="0" w:firstLine="0"/>
      <w:spacing w:after="57"/>
    </w:pPr>
  </w:style>
  <w:style w:type="paragraph" w:styleId="816">
    <w:name w:val="toc 2"/>
    <w:uiPriority w:val="39"/>
    <w:unhideWhenUsed/>
    <w:pPr>
      <w:ind w:left="283" w:right="0" w:firstLine="0"/>
      <w:spacing w:after="57"/>
    </w:pPr>
  </w:style>
  <w:style w:type="paragraph" w:styleId="817">
    <w:name w:val="toc 3"/>
    <w:uiPriority w:val="39"/>
    <w:unhideWhenUsed/>
    <w:pPr>
      <w:ind w:left="567" w:right="0" w:firstLine="0"/>
      <w:spacing w:after="57"/>
    </w:pPr>
  </w:style>
  <w:style w:type="paragraph" w:styleId="818">
    <w:name w:val="toc 4"/>
    <w:uiPriority w:val="39"/>
    <w:unhideWhenUsed/>
    <w:pPr>
      <w:ind w:left="850" w:right="0" w:firstLine="0"/>
      <w:spacing w:after="57"/>
    </w:pPr>
  </w:style>
  <w:style w:type="paragraph" w:styleId="819">
    <w:name w:val="toc 5"/>
    <w:uiPriority w:val="39"/>
    <w:unhideWhenUsed/>
    <w:pPr>
      <w:ind w:left="1134" w:right="0" w:firstLine="0"/>
      <w:spacing w:after="57"/>
    </w:pPr>
  </w:style>
  <w:style w:type="paragraph" w:styleId="820">
    <w:name w:val="toc 6"/>
    <w:uiPriority w:val="39"/>
    <w:unhideWhenUsed/>
    <w:pPr>
      <w:ind w:left="1417" w:right="0" w:firstLine="0"/>
      <w:spacing w:after="57"/>
    </w:pPr>
  </w:style>
  <w:style w:type="paragraph" w:styleId="821">
    <w:name w:val="toc 7"/>
    <w:uiPriority w:val="39"/>
    <w:unhideWhenUsed/>
    <w:pPr>
      <w:ind w:left="1701" w:right="0" w:firstLine="0"/>
      <w:spacing w:after="57"/>
    </w:pPr>
  </w:style>
  <w:style w:type="paragraph" w:styleId="822">
    <w:name w:val="toc 8"/>
    <w:uiPriority w:val="39"/>
    <w:unhideWhenUsed/>
    <w:pPr>
      <w:ind w:left="1984" w:right="0" w:firstLine="0"/>
      <w:spacing w:after="57"/>
    </w:pPr>
  </w:style>
  <w:style w:type="paragraph" w:styleId="823">
    <w:name w:val="toc 9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uiPriority w:val="99"/>
    <w:unhideWhenUsed/>
    <w:pPr>
      <w:spacing w:after="0" w:afterAutospacing="0"/>
    </w:pPr>
  </w:style>
  <w:style w:type="paragraph" w:styleId="826">
    <w:name w:val="Обычный"/>
    <w:next w:val="826"/>
    <w:link w:val="826"/>
    <w:rPr>
      <w:sz w:val="24"/>
      <w:szCs w:val="24"/>
      <w:lang w:val="ru-RU" w:eastAsia="ru-RU" w:bidi="ar-SA"/>
    </w:rPr>
  </w:style>
  <w:style w:type="character" w:styleId="827">
    <w:name w:val="Основной шрифт абзаца"/>
    <w:next w:val="827"/>
    <w:link w:val="826"/>
    <w:semiHidden/>
  </w:style>
  <w:style w:type="table" w:styleId="828">
    <w:name w:val="Обычная таблица"/>
    <w:next w:val="828"/>
    <w:link w:val="826"/>
    <w:semiHidden/>
    <w:tblPr/>
  </w:style>
  <w:style w:type="numbering" w:styleId="829">
    <w:name w:val="Нет списка"/>
    <w:next w:val="829"/>
    <w:link w:val="826"/>
    <w:semiHidden/>
  </w:style>
  <w:style w:type="paragraph" w:styleId="830">
    <w:name w:val="Знак Знак Знак Знак"/>
    <w:basedOn w:val="826"/>
    <w:next w:val="830"/>
    <w:link w:val="82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31">
    <w:name w:val="ConsPlusNormal"/>
    <w:next w:val="831"/>
    <w:link w:val="826"/>
    <w:pPr>
      <w:ind w:firstLine="720"/>
    </w:pPr>
    <w:rPr>
      <w:rFonts w:ascii="Arial" w:hAnsi="Arial"/>
      <w:lang w:val="ru-RU" w:eastAsia="ru-RU" w:bidi="ar-SA"/>
    </w:rPr>
  </w:style>
  <w:style w:type="paragraph" w:styleId="832">
    <w:name w:val="ConsPlusCell"/>
    <w:next w:val="832"/>
    <w:link w:val="826"/>
    <w:pPr>
      <w:widowControl w:val="off"/>
    </w:pPr>
    <w:rPr>
      <w:rFonts w:ascii="Arial" w:hAnsi="Arial"/>
      <w:lang w:val="ru-RU" w:eastAsia="ru-RU" w:bidi="ar-SA"/>
    </w:rPr>
  </w:style>
  <w:style w:type="table" w:styleId="833">
    <w:name w:val="Сетка таблицы"/>
    <w:basedOn w:val="828"/>
    <w:next w:val="833"/>
    <w:link w:val="826"/>
    <w:tblPr/>
  </w:style>
  <w:style w:type="paragraph" w:styleId="834">
    <w:name w:val="Основной текст с отступом 2"/>
    <w:basedOn w:val="826"/>
    <w:next w:val="834"/>
    <w:link w:val="836"/>
    <w:pPr>
      <w:ind w:firstLine="720"/>
      <w:jc w:val="both"/>
    </w:pPr>
    <w:rPr>
      <w:sz w:val="28"/>
      <w:lang w:val="en-US" w:eastAsia="en-US"/>
    </w:rPr>
  </w:style>
  <w:style w:type="paragraph" w:styleId="835">
    <w:name w:val="ConsPlusNonformat"/>
    <w:next w:val="835"/>
    <w:link w:val="826"/>
    <w:rPr>
      <w:rFonts w:ascii="Courier New" w:hAnsi="Courier New"/>
      <w:lang w:val="ru-RU" w:eastAsia="ru-RU" w:bidi="ar-SA"/>
    </w:rPr>
  </w:style>
  <w:style w:type="character" w:styleId="836">
    <w:name w:val="Основной текст с отступом 2 Знак"/>
    <w:next w:val="836"/>
    <w:link w:val="834"/>
    <w:rPr>
      <w:sz w:val="28"/>
      <w:szCs w:val="24"/>
    </w:rPr>
  </w:style>
  <w:style w:type="paragraph" w:styleId="837">
    <w:name w:val="Верхний колонтитул"/>
    <w:basedOn w:val="826"/>
    <w:next w:val="837"/>
    <w:link w:val="83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38">
    <w:name w:val="Верхний колонтитул Знак"/>
    <w:next w:val="838"/>
    <w:link w:val="837"/>
    <w:rPr>
      <w:sz w:val="24"/>
      <w:szCs w:val="24"/>
    </w:rPr>
  </w:style>
  <w:style w:type="paragraph" w:styleId="839">
    <w:name w:val="Нижний колонтитул"/>
    <w:basedOn w:val="826"/>
    <w:next w:val="839"/>
    <w:link w:val="84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0">
    <w:name w:val="Нижний колонтитул Знак"/>
    <w:next w:val="840"/>
    <w:link w:val="839"/>
    <w:rPr>
      <w:sz w:val="24"/>
      <w:szCs w:val="24"/>
    </w:rPr>
  </w:style>
  <w:style w:type="paragraph" w:styleId="841">
    <w:name w:val="ConsPlusTitle"/>
    <w:next w:val="841"/>
    <w:link w:val="82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42">
    <w:name w:val="Основной текст с отступом"/>
    <w:basedOn w:val="826"/>
    <w:next w:val="842"/>
    <w:link w:val="843"/>
    <w:pPr>
      <w:ind w:left="283"/>
      <w:spacing w:after="120"/>
    </w:pPr>
    <w:rPr>
      <w:lang w:val="en-US" w:eastAsia="en-US"/>
    </w:rPr>
  </w:style>
  <w:style w:type="character" w:styleId="843">
    <w:name w:val="Основной текст с отступом Знак"/>
    <w:next w:val="843"/>
    <w:link w:val="842"/>
    <w:rPr>
      <w:sz w:val="24"/>
      <w:szCs w:val="24"/>
    </w:rPr>
  </w:style>
  <w:style w:type="paragraph" w:styleId="844">
    <w:name w:val="Текст выноски"/>
    <w:basedOn w:val="826"/>
    <w:next w:val="844"/>
    <w:link w:val="845"/>
    <w:rPr>
      <w:rFonts w:ascii="Tahoma" w:hAnsi="Tahoma"/>
      <w:sz w:val="16"/>
      <w:szCs w:val="16"/>
      <w:lang w:val="en-US" w:eastAsia="en-US"/>
    </w:rPr>
  </w:style>
  <w:style w:type="character" w:styleId="845">
    <w:name w:val="Текст выноски Знак"/>
    <w:next w:val="845"/>
    <w:link w:val="844"/>
    <w:rPr>
      <w:rFonts w:ascii="Tahoma" w:hAnsi="Tahoma"/>
      <w:sz w:val="16"/>
      <w:szCs w:val="16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paragraph" w:styleId="848" w:default="1">
    <w:name w:val="Normal"/>
    <w:qFormat/>
  </w:style>
  <w:style w:type="table" w:styleId="84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BC4FDCB53AB2EC8B14B6B3AE8120CF99E618AD28C81A94C69A1C057EC095CEE9BB73B2CF9B88F0D7DA4765HEQ0F" TargetMode="External"/><Relationship Id="rId11" Type="http://schemas.openxmlformats.org/officeDocument/2006/relationships/hyperlink" Target="consultantplus://offline/ref=BC4FDCB53AB2EC8B14B6B3AE8120CF99E618AD28C81A94C69A1C057EC095CEE9BB73B2CF9B88F0D7DA4765HEQFF" TargetMode="External"/><Relationship Id="rId12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43</cp:revision>
  <dcterms:modified xsi:type="dcterms:W3CDTF">2024-12-25T13:46:26Z</dcterms:modified>
</cp:coreProperties>
</file>